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9-1339</w:t>
        <w:t xml:space="preserve">.  </w:t>
      </w:r>
      <w:r>
        <w:rPr>
          <w:b/>
        </w:rPr>
        <w:t xml:space="preserve">Priority subject to subordination</w:t>
      </w:r>
    </w:p>
    <w:p>
      <w:pPr>
        <w:jc w:val="both"/>
        <w:spacing w:before="100" w:after="100"/>
        <w:ind w:start="360"/>
        <w:ind w:firstLine="360"/>
      </w:pPr>
      <w:r>
        <w:rPr/>
      </w:r>
      <w:r>
        <w:rPr/>
      </w:r>
      <w:r>
        <w:t xml:space="preserve">This Article does not preclude subordination by agreement by a person entitled to priority.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§9-1339. Priority subject to subordination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§9-1339. Priority subject to subordination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§9-1339. PRIORITY SUBJECT TO SUBORDINATION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