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9-1331</w:t>
        <w:t xml:space="preserve">.  </w:t>
      </w:r>
      <w:r>
        <w:rPr>
          <w:b/>
        </w:rPr>
        <w:t xml:space="preserve">Priority of rights of purchasers of controllable accounts, controllable electronic records, controllable payment intangibles, documents, instruments and securities under other Articles; priority of interests in financial assets and security entitlements and protection against assertion of claim under Articles 8-A and 12</w:t>
      </w:r>
    </w:p>
    <w:p>
      <w:pPr>
        <w:jc w:val="both"/>
        <w:spacing w:before="100" w:after="0"/>
        <w:ind w:start="360"/>
        <w:ind w:firstLine="360"/>
      </w:pPr>
      <w:r>
        <w:rPr>
          <w:b/>
        </w:rPr>
        <w:t>(1)</w:t>
        <w:t xml:space="preserve">.  </w:t>
      </w:r>
      <w:r>
        <w:rPr>
          <w:b/>
        </w:rPr>
      </w:r>
      <w:r>
        <w:t xml:space="preserve"> </w:t>
      </w:r>
      <w:r>
        <w:t xml:space="preserve">This Article does not limit the rights of a holder in due course of a negotiable instrument, a holder to which a negotiable document of title has been duly negotiated, a protected purchaser of a security or a qualifying purchaser of a controllable account, controllable electronic record or controllable payment intangible.  These holders or purchasers take priority over an earlier security interest, even if perfected, to the extent provided in </w:t>
      </w:r>
      <w:r>
        <w:t>Articles 3‑A</w:t>
      </w:r>
      <w:r>
        <w:t xml:space="preserve">, </w:t>
      </w:r>
      <w:r>
        <w:t>7‑A</w:t>
      </w:r>
      <w:r>
        <w:t xml:space="preserve">, </w:t>
      </w:r>
      <w:r>
        <w:t>8‑A</w:t>
      </w:r>
      <w:r>
        <w:t xml:space="preserve"> and </w:t>
      </w:r>
      <w:r>
        <w:t>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§128 (AMD); PL 2023, c. 669, Pt. E, §1 (AFF).]</w:t>
      </w:r>
    </w:p>
    <w:p>
      <w:pPr>
        <w:jc w:val="both"/>
        <w:spacing w:before="100" w:after="0"/>
        <w:ind w:start="360"/>
        <w:ind w:firstLine="360"/>
      </w:pPr>
      <w:r>
        <w:rPr>
          <w:b/>
        </w:rPr>
        <w:t>(2)</w:t>
        <w:t xml:space="preserve">.  </w:t>
      </w:r>
      <w:r>
        <w:rPr>
          <w:b/>
        </w:rPr>
      </w:r>
      <w:r>
        <w:t xml:space="preserve"> </w:t>
      </w:r>
      <w:r>
        <w:t xml:space="preserve">This Article does not limit the rights of or impose liability on a person to the extent that the person is protected against the assertion of a claim under </w:t>
      </w:r>
      <w:r>
        <w:t>Article 8‑A</w:t>
      </w:r>
      <w:r>
        <w:t xml:space="preserve"> or </w:t>
      </w:r>
      <w:r>
        <w:t>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§128 (AMD); PL 2023, c. 669, Pt. E, §1 (AFF).]</w:t>
      </w:r>
    </w:p>
    <w:p>
      <w:pPr>
        <w:jc w:val="both"/>
        <w:spacing w:before="100" w:after="0"/>
        <w:ind w:start="360"/>
        <w:ind w:firstLine="360"/>
      </w:pPr>
      <w:r>
        <w:rPr>
          <w:b/>
        </w:rPr>
        <w:t>(3)</w:t>
        <w:t xml:space="preserve">.  </w:t>
      </w:r>
      <w:r>
        <w:rPr>
          <w:b/>
        </w:rPr>
      </w:r>
      <w:r>
        <w:t xml:space="preserve"> </w:t>
      </w:r>
      <w:r>
        <w:t xml:space="preserve">Filing under this Article does not constitute notice of a claim or defense to the holders, or purchasers, or persons described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471, §B4 (AMD). PL 2001, c. 471, §B5 (AFF). PL 2023, c. 669, Pt. A, §128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§9-1331. Priority of rights of purchasers of controllable accounts, controllable electronic records, controllable payment intangibles, documents, instruments and securities under other Articles; priority of interests in financial assets and security entitlements and protection against assertion of claim under Articles 8-A and 12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§9-1331. Priority of rights of purchasers of controllable accounts, controllable electronic records, controllable payment intangibles, documents, instruments and securities under other Articles; priority of interests in financial assets and security entitlements and protection against assertion of claim under Articles 8-A and 12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§9-1331. PRIORITY OF RIGHTS OF PURCHASERS OF CONTROLLABLE ACCOUNTS, CONTROLLABLE ELECTRONIC RECORDS, CONTROLLABLE PAYMENT INTANGIBLES, DOCUMENTS, INSTRUMENTS AND SECURITIES UNDER OTHER ARTICLES; PRIORITY OF INTERESTS IN FINANCIAL ASSETS AND SECURITY ENTITLEMENTS AND PROTECTION AGAINST ASSERTION OF CLAIM UNDER ARTICLES 8-A AND 12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