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Responsibility of municipal officers and county commissioners</w:t>
      </w:r>
    </w:p>
    <w:p>
      <w:pPr>
        <w:jc w:val="both"/>
        <w:spacing w:before="100" w:after="100"/>
        <w:ind w:start="360"/>
        <w:ind w:firstLine="360"/>
      </w:pPr>
      <w:r>
        <w:rPr/>
      </w:r>
      <w:r>
        <w:rPr/>
      </w:r>
      <w:r>
        <w:t xml:space="preserve">The municipal officers of the municipality or the county commissioners responsible for the unorganized territory, in which a place is found pursuant to </w:t>
      </w:r>
      <w:r>
        <w:t>Title 5, section 4632</w:t>
      </w:r>
      <w:r>
        <w:t xml:space="preserve">, to have an offensive name, shall have the following responsibilities:</w:t>
      </w:r>
      <w:r>
        <w:t xml:space="preserve">  </w:t>
      </w:r>
      <w:r xmlns:wp="http://schemas.openxmlformats.org/drawingml/2010/wordprocessingDrawing" xmlns:w15="http://schemas.microsoft.com/office/word/2012/wordml">
        <w:rPr>
          <w:rFonts w:ascii="Arial" w:hAnsi="Arial" w:cs="Arial"/>
          <w:sz w:val="22"/>
          <w:szCs w:val="22"/>
        </w:rPr>
        <w:t xml:space="preserve">[PL 1977, c. 259, §1 (NEW).]</w:t>
      </w:r>
    </w:p>
    <w:p>
      <w:pPr>
        <w:jc w:val="both"/>
        <w:spacing w:before="100" w:after="0"/>
        <w:ind w:start="360"/>
        <w:ind w:firstLine="360"/>
      </w:pPr>
      <w:r>
        <w:rPr>
          <w:b/>
        </w:rPr>
        <w:t>1</w:t>
        <w:t xml:space="preserve">.  </w:t>
      </w:r>
      <w:r>
        <w:rPr>
          <w:b/>
        </w:rPr>
        <w:t xml:space="preserve">Reasonable actions.</w:t>
        <w:t xml:space="preserve"> </w:t>
      </w:r>
      <w:r>
        <w:t xml:space="preserve"> </w:t>
      </w:r>
      <w:r>
        <w:t xml:space="preserve">They shall take whatever reasonable actions are required to complete a change in the offensive name.  They may hold public hearings on selecting a new name;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613, §2 (AMD).]</w:t>
      </w:r>
    </w:p>
    <w:p>
      <w:pPr>
        <w:jc w:val="both"/>
        <w:spacing w:before="100" w:after="0"/>
        <w:ind w:start="360"/>
        <w:ind w:firstLine="360"/>
      </w:pPr>
      <w:r>
        <w:rPr>
          <w:b/>
        </w:rPr>
        <w:t>2</w:t>
        <w:t xml:space="preserve">.  </w:t>
      </w:r>
      <w:r>
        <w:rPr>
          <w:b/>
        </w:rPr>
        <w:t xml:space="preserve">Notification.</w:t>
        <w:t xml:space="preserve"> </w:t>
      </w:r>
      <w:r>
        <w:t xml:space="preserve"> </w:t>
      </w:r>
      <w:r>
        <w:t xml:space="preserve">Unless a court order is issued under </w:t>
      </w:r>
      <w:r>
        <w:t>Title 5, section 4632</w:t>
      </w:r>
      <w:r>
        <w:t xml:space="preserve"> specifying a different deadline, within 6 months of the determination that the place has an offensive name, they shall provide notice of the new name to the Commissioner of Agriculture, Conservation and Forestry, the Secretary of the United States Department of the Interior and other public agencies, boards, committees or other groups responsible for changing names of places and for ensuring that such name changes appear on maps and other public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613, §2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 PL 1999, c. 613, §2 (AMD).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Responsibility of municipal officers and county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Responsibility of municipal officers and county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§1104. RESPONSIBILITY OF MUNICIPAL OFFICERS AND COUNTY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