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Extent of sovereignty and jurisdiction</w:t>
      </w:r>
    </w:p>
    <w:p>
      <w:pPr>
        <w:jc w:val="both"/>
        <w:spacing w:before="100" w:after="100"/>
        <w:ind w:start="360"/>
        <w:ind w:firstLine="360"/>
      </w:pPr>
      <w:r>
        <w:rPr/>
      </w:r>
      <w:r>
        <w:rPr/>
      </w:r>
      <w:r>
        <w:t xml:space="preserve">The jurisdiction and sovereignty of the State extend to all places within its boundaries, subject only to such rights of concurrent jurisdiction as are granted by the State over places ceded by the State to the United States. This section shall not limit or restrict the jurisdiction of the State over any person or with respect to any subject, within or without its boundaries, which jurisdiction is exercisable by reason of citizenship, residence or for any other reason recognized by law.</w:t>
      </w:r>
      <w:r>
        <w:t xml:space="preserve">  </w:t>
      </w:r>
      <w:r xmlns:wp="http://schemas.openxmlformats.org/drawingml/2010/wordprocessingDrawing" xmlns:w15="http://schemas.microsoft.com/office/word/2012/wordml">
        <w:rPr>
          <w:rFonts w:ascii="Arial" w:hAnsi="Arial" w:cs="Arial"/>
          <w:sz w:val="22"/>
          <w:szCs w:val="22"/>
        </w:rPr>
        <w:t xml:space="preserve">[PL 1985, c. 802,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§1 (AMD). PL 1985, c. 802,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Extent of sovereignty and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Extent of sovereignty and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 EXTENT OF SOVEREIGNTY AND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