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401</w:t>
        <w:t xml:space="preserve">.  </w:t>
      </w:r>
      <w:r>
        <w:rPr>
          <w:b/>
        </w:rPr>
        <w:t xml:space="preserve">Definitions; use of term "saving"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402</w:t>
        <w:t xml:space="preserve">.  </w:t>
      </w:r>
      <w:r>
        <w:rPr>
          <w:b/>
        </w:rPr>
        <w:t xml:space="preserve">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403</w:t>
        <w:t xml:space="preserve">.  </w:t>
      </w:r>
      <w:r>
        <w:rPr>
          <w:b/>
        </w:rPr>
        <w:t xml:space="preserve">Commissioner to report violations;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jc w:val="both"/>
        <w:spacing w:before="100" w:after="100"/>
        <w:ind w:start="1080" w:hanging="720"/>
      </w:pPr>
      <w:r>
        <w:rPr>
          <w:b/>
        </w:rPr>
        <w:t>§</w:t>
        <w:t>404</w:t>
        <w:t xml:space="preserve">.  </w:t>
      </w:r>
      <w:r>
        <w:rPr>
          <w:b/>
        </w:rPr>
        <w:t xml:space="preserve">Application of charter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41.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