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Mergers and consolidations; investor-owned and mutual financial institutions</w:t>
      </w:r>
    </w:p>
    <w:p>
      <w:pPr>
        <w:jc w:val="both"/>
        <w:spacing w:before="100" w:after="100"/>
        <w:ind w:start="360"/>
        <w:ind w:firstLine="360"/>
      </w:pPr>
      <w:r>
        <w:rPr>
          <w:b/>
        </w:rPr>
        <w:t>1</w:t>
        <w:t xml:space="preserve">.  </w:t>
      </w:r>
      <w:r>
        <w:rPr>
          <w:b/>
        </w:rPr>
        <w:t xml:space="preserve">Resulting mutual financial institution.</w:t>
        <w:t xml:space="preserve"> </w:t>
      </w:r>
      <w:r>
        <w:t xml:space="preserve"> </w:t>
      </w:r>
      <w:r>
        <w:t xml:space="preserve">An investor-owned financial institution may be merged into or consolidated with a mutual financial institution organized under the laws of this State in accordance with the procedures and subject to the conditions and limitations set forth in this subsection.</w:t>
      </w:r>
    </w:p>
    <w:p>
      <w:pPr>
        <w:jc w:val="both"/>
        <w:spacing w:before="100" w:after="0"/>
        <w:ind w:start="720"/>
      </w:pPr>
      <w:r>
        <w:rPr/>
        <w:t>A</w:t>
        <w:t xml:space="preserve">.  </w:t>
      </w:r>
      <w:r>
        <w:rPr/>
      </w:r>
      <w:r>
        <w:t xml:space="preserve">The acquiring mutual financial institution shall comply with the requirements of </w:t>
      </w:r>
      <w:r>
        <w:t>section 353, subsections 1</w:t>
      </w:r>
      <w:r>
        <w:t xml:space="preserve"> to </w:t>
      </w:r>
      <w:r>
        <w:t>4</w:t>
      </w:r>
      <w:r>
        <w:t xml:space="preserve">, except that the plan of merger or consolidation must state the amount that institution will pay for the equity interests in the investor-owned institution to be acquired and additional information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E</w:t>
        <w:t xml:space="preserve">.  </w:t>
      </w:r>
      <w:r>
        <w:rPr/>
      </w:r>
      <w:r>
        <w:t xml:space="preserve">The investor-owned institution to be acquired shall comply with </w:t>
      </w:r>
      <w:r>
        <w:t>section 352, subsections 1</w:t>
      </w:r>
      <w:r>
        <w:t xml:space="preserve"> to </w:t>
      </w:r>
      <w:r>
        <w:t>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w:pPr>
        <w:jc w:val="both"/>
        <w:spacing w:before="100" w:after="0"/>
        <w:ind w:start="720"/>
      </w:pPr>
      <w:r>
        <w:rPr/>
        <w:t>F</w:t>
        <w:t xml:space="preserve">.  </w:t>
      </w:r>
      <w:r>
        <w:rPr/>
      </w:r>
      <w:r>
        <w:t>Sections 357</w:t>
      </w:r>
      <w:r>
        <w:t xml:space="preserve"> and </w:t>
      </w:r>
      <w:r>
        <w:t>358</w:t>
      </w:r>
      <w:r>
        <w:t xml:space="preserve"> apply to mergers or consolidations made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§4 (AMD).]</w:t>
      </w:r>
    </w:p>
    <w:p>
      <w:pPr>
        <w:jc w:val="both"/>
        <w:spacing w:before="100" w:after="0"/>
        <w:ind w:start="360"/>
        <w:ind w:firstLine="360"/>
      </w:pPr>
      <w:r>
        <w:rPr>
          <w:b/>
        </w:rPr>
        <w:t>2</w:t>
        <w:t xml:space="preserve">.  </w:t>
      </w:r>
      <w:r>
        <w:rPr>
          <w:b/>
        </w:rPr>
        <w:t xml:space="preserve">Resulting investor-owned institution.</w:t>
        <w:t xml:space="preserve"> </w:t>
      </w:r>
      <w:r>
        <w:t xml:space="preserve"> </w:t>
      </w:r>
      <w:r>
        <w:t xml:space="preserve">Except as the superintendent may authorize pursuant to </w:t>
      </w:r>
      <w:r>
        <w:t>section 354‑A</w:t>
      </w:r>
      <w:r>
        <w:t xml:space="preserve">, a mutual financial institution may not merge into an investor-owned institution organized under the laws of this State without prior compliance with </w:t>
      </w:r>
      <w:r>
        <w:t>section 344</w:t>
      </w:r>
      <w:r>
        <w:t xml:space="preserve"> and all rules adopted under that section.  In accordance with </w:t>
      </w:r>
      <w:r>
        <w:t>section 1054, subsection 3, paragraph B</w:t>
      </w:r>
      <w:r>
        <w:t xml:space="preserve">, a mutual holding company may acquire a mutual financial institution or mutual federal association through merger into a subsidiary universal bank or an interim subsidiary universal bank of the mutual holding company without prior compliance with </w:t>
      </w:r>
      <w:r>
        <w:t>section 344</w:t>
      </w:r>
      <w:r>
        <w:t xml:space="preserve"> and all rules adopted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22, §10 (AMD). PL 1997, c. 398, §G4 (AMD). PL 2021, c. 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Mergers and consolidations; investor-owned and mutual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Mergers and consolidations; investor-owned and mutual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§354. MERGERS AND CONSOLIDATIONS; INVESTOR-OWNED AND MUTUAL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