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w:t>
        <w:t xml:space="preserve">.  </w:t>
      </w:r>
      <w:r>
        <w:rPr>
          <w:b/>
        </w:rPr>
        <w:t xml:space="preserve">Equivalent bond to be issued on assignment</w:t>
      </w:r>
    </w:p>
    <w:p>
      <w:pPr>
        <w:jc w:val="both"/>
        <w:spacing w:before="100" w:after="100"/>
        <w:ind w:start="360"/>
        <w:ind w:firstLine="360"/>
      </w:pPr>
      <w:r>
        <w:rPr/>
      </w:r>
      <w:r>
        <w:rPr/>
      </w:r>
      <w:r>
        <w:t xml:space="preserve">Upon due assignment of any such registered bond and delivery thereof to the Treasurer of State, an equivalent bond or bonds, in form as provided, shall be issued to the assignee in substitution therefor.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§146. Equivalent bond to be issued on assignment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 Equivalent bond to be issued on assignment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§146. EQUIVALENT BOND TO BE ISSUED ON ASSIGNMENT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