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313-A</w:t>
      </w:r>
    </w:p>
    <w:p>
      <w:pPr>
        <w:jc w:val="center"/>
        <w:ind w:start="360"/>
        <w:spacing w:before="300" w:after="300"/>
      </w:pPr>
      <w:r>
        <w:rPr>
          <w:b/>
        </w:rPr>
        <w:t xml:space="preserve">ENERGY RESOURCES COUNCIL</w:t>
      </w:r>
    </w:p>
    <w:p>
      <w:pPr>
        <w:jc w:val="both"/>
        <w:spacing w:before="100" w:after="100"/>
        <w:ind w:start="1080" w:hanging="720"/>
      </w:pPr>
      <w:r>
        <w:rPr>
          <w:b/>
        </w:rPr>
        <w:t>§</w:t>
        <w:t>3327</w:t>
        <w:t xml:space="preserve">.  </w:t>
      </w:r>
      <w:r>
        <w:rPr>
          <w:b/>
        </w:rPr>
        <w:t xml:space="preserve">Energy Resources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630, §1 (NEW). PL 2003, c. 9, §§1,2 (AMD). PL 2003, c. 487, §1 (AMD). PL 2005, c. 425, §2 (AMD). PL 2007, c. 656, Pt. C, §§3-5 (AMD). PL 2009, c. 372, Pt. A, §3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313-A. ENERGY RESOURCES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313-A. ENERGY RESOURCES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313-A. ENERGY RESOURCES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