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Duties</w:t>
      </w:r>
    </w:p>
    <w:p>
      <w:pPr>
        <w:jc w:val="both"/>
        <w:spacing w:before="100" w:after="100"/>
        <w:ind w:start="360"/>
        <w:ind w:firstLine="360"/>
      </w:pPr>
      <w:r>
        <w:rPr/>
      </w:r>
      <w:r>
        <w:rPr/>
      </w:r>
      <w:r>
        <w:t xml:space="preserve">The Reporter of Decisions shall prepare correct reports of all legal questions argued and decided, reporting cases more or less at large according to the reporter's judgment of their importance. The reporter shall publish periodic advance sheets and at least one volume of Maine Reports yearly. The reporter shall, subject to the approval of the Chief Justice of the Supreme Judicial Court, make a written contract in the name of the State with any person, firm or corporation for the printing, publishing and binding of those reports. The price of each volume and the advance sheets must be stated in the contract. The reporter may require the person, firm or corporation with whom the reporter contracts to give a good and sufficient bond with good and sufficient sureties, conditioned for the faithful performance of all the terms and conditions of that contract by the person, firm or corporation with whom the reporter contracts. In case of a breach of any or all of the conditions of the bond, the reporter may maintain an action on the bond in the name of the State. In the exercise of any discretionary powers vested in the reporter by this section or by </w:t>
      </w:r>
      <w:r>
        <w:t>section 57</w:t>
      </w:r>
      <w:r>
        <w:t xml:space="preserve">, the Reporter of Decisions shall act in accordance with such instructions or advice received from the Chief Justice of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2019, c. 475, §48 (AMD).]</w:t>
      </w:r>
    </w:p>
    <w:p>
      <w:pPr>
        <w:jc w:val="both"/>
        <w:spacing w:before="100" w:after="100"/>
        <w:ind w:start="360"/>
        <w:ind w:firstLine="360"/>
      </w:pPr>
      <w:r>
        <w:rPr/>
      </w:r>
      <w:r>
        <w:rPr/>
      </w:r>
      <w:r>
        <w:t xml:space="preserve">All copies of the Maine Reports purchased by the State must be delivered to the State Law Librarian for distribution as provided in </w:t>
      </w:r>
      <w:r>
        <w:t>Title 3, section 173, 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475,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459, §1 (AMD). PL 1973, c. 788, §8 (AMD). PL 2019, c. 475, §48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§702.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