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202</w:t>
        <w:t xml:space="preserve">.  </w:t>
      </w:r>
      <w:r>
        <w:rPr>
          <w:b/>
        </w:rPr>
        <w:t xml:space="preserve">Oaths and acknowledgments</w:t>
      </w:r>
    </w:p>
    <w:p>
      <w:pPr>
        <w:jc w:val="both"/>
        <w:spacing w:before="100" w:after="100"/>
        <w:ind w:start="360"/>
        <w:ind w:firstLine="360"/>
      </w:pPr>
      <w:r>
        <w:rPr/>
      </w:r>
      <w:r>
        <w:rPr/>
      </w:r>
      <w:r>
        <w:t xml:space="preserve">All oaths required to be taken by personal representatives, trustees, guardians, conservators, or of any other persons in relation to any proceeding in the probate court, or to perpetuate the evidence of the publication of any order of notice, may be administered by the judge or register of probate or any notary public.  A certificate thereof, when taken out of court, must be returned into the registry of probate and there filed.  When any person of whom such oath is required, excluding any parent executing a surrender and release or a consent under </w:t>
      </w:r>
      <w:r>
        <w:t>Title 18‑C, section 9‑202</w:t>
      </w:r>
      <w:r>
        <w:t xml:space="preserve">, resides temporarily or permanently outside the State, the oath or acknowledgment may be taken before and be certified by a notary public outside the State, a commissioner for the State of Maine or a United States Consul.</w:t>
      </w:r>
      <w:r>
        <w:t xml:space="preserve">  </w:t>
      </w:r>
      <w:r xmlns:wp="http://schemas.openxmlformats.org/drawingml/2010/wordprocessingDrawing" xmlns:w15="http://schemas.microsoft.com/office/word/2012/wordml">
        <w:rPr>
          <w:rFonts w:ascii="Arial" w:hAnsi="Arial" w:cs="Arial"/>
          <w:sz w:val="22"/>
          <w:szCs w:val="22"/>
        </w:rPr>
        <w:t xml:space="preserve">[PL 2025, c. 168,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§6 (AMD). PL 1981, c. 456, §A5 (AMD). PL 2025, c. 168,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§202. Oaths and acknowledgments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§202. Oaths and acknowledgments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§202. OATHS AND ACKNOWLEDGMENTS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