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610-D</w:t>
        <w:t xml:space="preserve">.  </w:t>
      </w:r>
      <w:r>
        <w:rPr>
          <w:b/>
        </w:rPr>
        <w:t xml:space="preserve">Residential Wood Stove Replacement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Residential Wood Stove Replacement Fund, referred to in this section as "the fund," is established as a nonlapsing fund administered by the department for the purpose of providing financial incentives for the replacement of wood stoves with cleaner alternatives.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any source, both public and private; and</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653, §1 (NEW); MRSA T. 38 §610-D, sub2, ¶B (RP).]</w:t>
      </w:r>
    </w:p>
    <w:p>
      <w:pPr>
        <w:jc w:val="both"/>
        <w:spacing w:before="100" w:after="0"/>
        <w:ind w:start="360"/>
      </w:pPr>
      <w:r>
        <w:rPr/>
      </w:r>
      <w:r>
        <w:rPr/>
      </w:r>
      <w:r>
        <w:t xml:space="preserve">Money deposited in the fund must be deposited with the Treasurer of State to the credit of the fund and may be invested as provided by law.  Interest on that investment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0"/>
        <w:ind w:start="360"/>
        <w:ind w:firstLine="360"/>
      </w:pPr>
      <w:r>
        <w:rPr>
          <w:b/>
        </w:rPr>
        <w:t>3</w:t>
        <w:t xml:space="preserve">.  </w:t>
      </w:r>
      <w:r>
        <w:rPr>
          <w:b/>
        </w:rPr>
        <w:t xml:space="preserve">Disbursements from the fund.</w:t>
        <w:t xml:space="preserve"> </w:t>
      </w:r>
      <w:r>
        <w:t xml:space="preserve"> </w:t>
      </w:r>
      <w:r>
        <w:t xml:space="preserve">The department shall apply the money in the fund toward the award of financial incentives to residents of the State to replace residential wood stoves manufactured prior to 1988 and used as a primary source of heat in an owner's primary residence with residential heating appliances with lower emissions of pollution, such as wood stoves, pellet stoves or vented gas stoves, that have been certified by the United States Environmental Protection Agency.  Costs incurred by the department to administer the residential wood stove replacement program under </w:t>
      </w:r>
      <w:r>
        <w:t>subsection 4</w:t>
      </w:r>
      <w:r>
        <w:t xml:space="preserve"> may be paid by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100"/>
        <w:ind w:start="360"/>
        <w:ind w:firstLine="360"/>
      </w:pPr>
      <w:r>
        <w:rPr>
          <w:b/>
        </w:rPr>
        <w:t>4</w:t>
        <w:t xml:space="preserve">.  </w:t>
      </w:r>
      <w:r>
        <w:rPr>
          <w:b/>
        </w:rPr>
        <w:t xml:space="preserve">Residential wood stove replacement program.</w:t>
        <w:t xml:space="preserve"> </w:t>
      </w:r>
      <w:r>
        <w:t xml:space="preserve"> </w:t>
      </w:r>
      <w:r>
        <w:t xml:space="preserve">The department shall establish through rulemaking a residential wood stove replacement program.  The program must include, but is not limited to:</w:t>
      </w:r>
    </w:p>
    <w:p>
      <w:pPr>
        <w:jc w:val="both"/>
        <w:spacing w:before="100" w:after="0"/>
        <w:ind w:start="720"/>
      </w:pPr>
      <w:r>
        <w:rPr/>
        <w:t>A</w:t>
        <w:t xml:space="preserve">.  </w:t>
      </w:r>
      <w:r>
        <w:rPr/>
      </w:r>
      <w:r>
        <w:t xml:space="preserve">Public outreach and education;</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B</w:t>
        <w:t xml:space="preserve">.  </w:t>
      </w:r>
      <w:r>
        <w:rPr/>
      </w:r>
      <w:r>
        <w:t xml:space="preserve">Establishment of eligibility criteria for participating in the program, benefits available under the program and the process for establishing eligibility for benefits; and</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w:pPr>
        <w:jc w:val="both"/>
        <w:spacing w:before="100" w:after="0"/>
        <w:ind w:start="720"/>
      </w:pPr>
      <w:r>
        <w:rPr/>
        <w:t>C</w:t>
        <w:t xml:space="preserve">.  </w:t>
      </w:r>
      <w:r>
        <w:rPr/>
      </w:r>
      <w:r>
        <w:t xml:space="preserve">Approved methods for removal and disposal of the replaced residential wood stoves.</w:t>
      </w:r>
      <w:r>
        <w:t xml:space="preserve">  </w:t>
      </w:r>
      <w:r xmlns:wp="http://schemas.openxmlformats.org/drawingml/2010/wordprocessingDrawing" xmlns:w15="http://schemas.microsoft.com/office/word/2012/wordml">
        <w:rPr>
          <w:rFonts w:ascii="Arial" w:hAnsi="Arial" w:cs="Arial"/>
          <w:sz w:val="22"/>
          <w:szCs w:val="22"/>
        </w:rPr>
        <w:t xml:space="preserve">[PL 2009, c. 653,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w:pPr>
        <w:jc w:val="both"/>
        <w:spacing w:before="100" w:after="0"/>
        <w:ind w:start="360"/>
        <w:ind w:firstLine="360"/>
      </w:pPr>
      <w:r>
        <w:rPr>
          <w:b/>
        </w:rPr>
        <w:t>5</w:t>
        <w:t xml:space="preserve">.  </w:t>
      </w:r>
      <w:r>
        <w:rPr>
          <w:b/>
        </w:rPr>
        <w:t xml:space="preserve">Rulemaking.</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653, §1 (NEW). MRSA T. 38 §610-D, sub2, ¶B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§610-D. Residential Wood Stove Replacement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§610-D. Residential Wood Stove Replacement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§610-D. RESIDENTIAL WOOD STOVE REPLACEMENT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