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Effective date -- Article XI</w:t>
      </w:r>
    </w:p>
    <w:p>
      <w:pPr>
        <w:jc w:val="both"/>
        <w:spacing w:before="100" w:after="100"/>
        <w:ind w:start="360"/>
        <w:ind w:firstLine="360"/>
      </w:pPr>
      <w:r>
        <w:rPr/>
      </w:r>
      <w:r>
        <w:rPr/>
      </w:r>
      <w:r>
        <w:t xml:space="preserve">This compact shall become effective immediately upon the adoption of the compact by any 2 contiguous states of New England but only insofar as applies to those states and upon approval by federal law. Thereafter upon ratification by other contiguous states, it shall become effective as to those states.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Effective date -- 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Effective date -- 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§501. EFFECTIVE DATE -- 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