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281</w:t>
        <w:t xml:space="preserve">.  </w:t>
      </w:r>
      <w:r>
        <w:rPr>
          <w:b/>
        </w:rPr>
        <w:t xml:space="preserve">Speed restrictions</w:t>
      </w:r>
    </w:p>
    <w:p>
      <w:pPr>
        <w:jc w:val="both"/>
        <w:spacing w:before="100" w:after="100"/>
        <w:ind w:start="360"/>
        <w:ind w:firstLine="360"/>
      </w:pPr>
      <w:r>
        <w:rPr/>
      </w:r>
      <w:r>
        <w:rPr/>
      </w:r>
      <w:r>
        <w:t xml:space="preserve">Whoever operates any watercraft, vessel, water skis, surfboard, similar device or motorboat, however propelled, upon the tidewaters of any municipality or upon any of the offshore waters within the jurisdiction of this State at a speed greater than is reasonable and proper, having due regard for traffic, proximity to wharves, docks, moorings or shores, and for any other conditions then existing,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§336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§336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§281. Speed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§281. Speed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§281. SPEED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