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1863</w:t>
        <w:t xml:space="preserve">.  </w:t>
      </w:r>
      <w:r>
        <w:rPr>
          <w:b/>
        </w:rPr>
        <w:t xml:space="preserve">Invasive Aquatic Plant and Nuisance Species Fund</w:t>
      </w:r>
    </w:p>
    <w:p>
      <w:pPr>
        <w:jc w:val="both"/>
        <w:spacing w:before="100" w:after="100"/>
        <w:ind w:start="360"/>
        <w:ind w:firstLine="360"/>
      </w:pPr>
      <w:r>
        <w:rPr/>
      </w:r>
      <w:r>
        <w:rPr/>
      </w:r>
      <w:r>
        <w:t xml:space="preserve">The Invasive Aquatic Plant and Nuisance Species Fund, referred to in this section as the "fund," is created within the department as a nonlapsing fund.  The fund is administered by the commissioner.  The fund is funded from a portion of the fees collected for lake and river protection stickers issued under </w:t>
      </w:r>
      <w:r>
        <w:t>Title 12, section 13058, subsection 3</w:t>
      </w:r>
      <w:r>
        <w:t xml:space="preserve"> and from other funds accepted for those purposes by the commissioner or allocated or appropriated by the Legislature.  Money in the fund may be used only for costs related to conducting inspections under </w:t>
      </w:r>
      <w:r>
        <w:t>section 1862</w:t>
      </w:r>
      <w:r>
        <w:t xml:space="preserve">, conducting invasive aquatic plant prevention, containment, eradication and management activities and reimbursing agencies as necessary for costs associated with conducting or enforcing the provisions of this chapter and </w:t>
      </w:r>
      <w:r>
        <w:t>chapter 20‑B</w:t>
      </w:r>
      <w:r>
        <w:t xml:space="preserve">.  The commissioner may also use funds to contract with municipalities or other entities to conduct inspection, prevention or eradication programs to protect the inland waters of the State from invasive aquatic plant and nuisance species.  The commissioner shall use at least 20% of the money in the fund for eradication activities.</w:t>
      </w:r>
      <w:r>
        <w:t xml:space="preserve">  </w:t>
      </w:r>
      <w:r xmlns:wp="http://schemas.openxmlformats.org/drawingml/2010/wordprocessingDrawing" xmlns:w15="http://schemas.microsoft.com/office/word/2012/wordml">
        <w:rPr>
          <w:rFonts w:ascii="Arial" w:hAnsi="Arial" w:cs="Arial"/>
          <w:sz w:val="22"/>
          <w:szCs w:val="22"/>
        </w:rPr>
        <w:t xml:space="preserve">[PL 2013, c. 580,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434, §A7 (NEW). PL 2003, c. 414, §B73 (AMD). PL 2003, c. 414, §D7 (AFF). PL 2003, c. 614, §9 (AFF). PL 2013, c. 580,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§1863. Invasive Aquatic Plant and Nuisance Species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§1863. Invasive Aquatic Plant and Nuisance Species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§1863. INVASIVE AQUATIC PLANT AND NUISANCE SPECIES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