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1682</w:t>
        <w:t xml:space="preserve">.  </w:t>
      </w:r>
      <w:r>
        <w:rPr>
          <w:b/>
        </w:rPr>
        <w:t xml:space="preserve">Restriction on sale</w:t>
      </w:r>
    </w:p>
    <w:p>
      <w:pPr>
        <w:jc w:val="both"/>
        <w:spacing w:before="100" w:after="100"/>
        <w:ind w:start="360"/>
        <w:ind w:firstLine="360"/>
      </w:pPr>
      <w:r>
        <w:rPr/>
      </w:r>
      <w:r>
        <w:rPr/>
      </w:r>
      <w:r>
        <w:t xml:space="preserve">The following restrictions apply to the sale of arsenic-treated wood or wood products for residential uses that are not included as permitted uses in a notice of cancellation order issued by the United States Environmental Protection Agency as published in the Federal Register on April 9, 2003.</w:t>
      </w:r>
      <w:r>
        <w:t xml:space="preserve">  </w:t>
      </w:r>
      <w:r xmlns:wp="http://schemas.openxmlformats.org/drawingml/2010/wordprocessingDrawing" xmlns:w15="http://schemas.microsoft.com/office/word/2012/wordml">
        <w:rPr>
          <w:rFonts w:ascii="Arial" w:hAnsi="Arial" w:cs="Arial"/>
          <w:sz w:val="22"/>
          <w:szCs w:val="22"/>
        </w:rPr>
        <w:t xml:space="preserve">[PL 2003, c. 457, §2 (NEW).]</w:t>
      </w:r>
    </w:p>
    <w:p>
      <w:pPr>
        <w:jc w:val="both"/>
        <w:spacing w:before="100" w:after="0"/>
        <w:ind w:start="360"/>
        <w:ind w:firstLine="360"/>
      </w:pPr>
      <w:r>
        <w:rPr>
          <w:b/>
        </w:rPr>
        <w:t>1</w:t>
        <w:t xml:space="preserve">.  </w:t>
      </w:r>
      <w:r>
        <w:rPr>
          <w:b/>
        </w:rPr>
        <w:t xml:space="preserve">Purchase of arsenic-treated wood by retail business.</w:t>
        <w:t xml:space="preserve"> </w:t>
      </w:r>
      <w:r>
        <w:t xml:space="preserve"> </w:t>
      </w:r>
      <w:r>
        <w:t xml:space="preserve">Retail businesses that sell wood for residential use may not purchase arsenic-treated wood or wood products for residential uses that are not included as permitted uses in a notice of cancellation order issued by the United States Environmental Protection Agency as published in the Federal Register on April 9, 2003.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457, §2 (NEW).]</w:t>
      </w:r>
    </w:p>
    <w:p>
      <w:pPr>
        <w:jc w:val="both"/>
        <w:spacing w:before="100" w:after="0"/>
        <w:ind w:start="360"/>
        <w:ind w:firstLine="360"/>
      </w:pPr>
      <w:r>
        <w:rPr>
          <w:b/>
        </w:rPr>
        <w:t>2</w:t>
        <w:t xml:space="preserve">.  </w:t>
      </w:r>
      <w:r>
        <w:rPr>
          <w:b/>
        </w:rPr>
        <w:t xml:space="preserve">Sale of arsenic-treated wood.</w:t>
        <w:t xml:space="preserve"> </w:t>
      </w:r>
      <w:r>
        <w:t xml:space="preserve"> </w:t>
      </w:r>
      <w:r>
        <w:t xml:space="preserve">Beginning April 1, 2004, a person may not sell or offer for sale arsenic-treated wood or wood products for residential uses that are not included as permitted uses in a notice of cancellation order issued by the United States Environmental Protection Agency as published in the Federal Register on April 9, 2003.  This prohibition does not apply to structures already built containing arsenic-treated wood that are included as part of a residential real estate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§1682. Restriction on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§1682. Restriction on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§1682. RESTRICTION ON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