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Authority to rent armories, readiness centers and other real property</w:t>
      </w:r>
    </w:p>
    <w:p>
      <w:pPr>
        <w:jc w:val="both"/>
        <w:spacing w:before="100" w:after="100"/>
        <w:ind w:start="360"/>
        <w:ind w:firstLine="360"/>
      </w:pPr>
      <w:r>
        <w:rPr/>
      </w:r>
      <w:r>
        <w:rPr/>
      </w:r>
      <w:r>
        <w:t xml:space="preserve">The Military Bureau may rent armories, readiness centers and other real property for activities that do not conflict with the military training mission.</w:t>
      </w:r>
      <w:r>
        <w:t xml:space="preserve">  </w:t>
      </w:r>
      <w:r xmlns:wp="http://schemas.openxmlformats.org/drawingml/2010/wordprocessingDrawing" xmlns:w15="http://schemas.microsoft.com/office/word/2012/wordml">
        <w:rPr>
          <w:rFonts w:ascii="Arial" w:hAnsi="Arial" w:cs="Arial"/>
          <w:sz w:val="22"/>
          <w:szCs w:val="22"/>
        </w:rPr>
        <w:t xml:space="preserve">[PL 2017, c. 108,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684, §2 (NEW). PL 2017, c. 108,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Authority to rent armories, readiness centers and other real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Authority to rent armories, readiness centers and other real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§153. AUTHORITY TO RENT ARMORIES, READINESS CENTERS AND OTHER REAL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