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471-A</w:t>
        <w:t xml:space="preserve">.  </w:t>
      </w:r>
      <w:r>
        <w:rPr>
          <w:b/>
        </w:rPr>
        <w:t xml:space="preserve">Board of assessment review</w:t>
      </w:r>
    </w:p>
    <w:p>
      <w:pPr>
        <w:jc w:val="both"/>
        <w:spacing w:before="100" w:after="100"/>
        <w:ind w:start="360"/>
        <w:ind w:firstLine="360"/>
      </w:pPr>
      <w:r>
        <w:rPr/>
      </w:r>
      <w:r>
        <w:rPr/>
      </w:r>
      <w:r>
        <w:t xml:space="preserve">The legislative body of a primary assessing area consisting of only one municipality may establish a primary assessing area board of assessment review.  The executive committee of a primary assessing area consisting of more than one municipality may establish a primary assessing area board of assessment review.  The primary assessing area board of assessment review has the powers and duties of a municipal board of assessment review, including those provided under </w:t>
      </w:r>
      <w:r>
        <w:t>section 844‑N</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262,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262,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§471-A. Board of assessment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§471-A. Board of assessment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§471-A. BOARD OF ASSESSMENT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