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4106</w:t>
        <w:t xml:space="preserve">.  </w:t>
      </w:r>
      <w:r>
        <w:rPr>
          <w:b/>
        </w:rPr>
        <w:t xml:space="preserve">Discharge of personal representative's personal liability</w:t>
      </w:r>
    </w:p>
    <w:p>
      <w:pPr>
        <w:jc w:val="both"/>
        <w:spacing w:before="100" w:after="100"/>
        <w:ind w:start="360"/>
        <w:ind w:firstLine="360"/>
      </w:pPr>
      <w:r>
        <w:rPr/>
      </w:r>
      <w:r>
        <w:rPr/>
      </w:r>
      <w:r>
        <w:t xml:space="preserve">If the personal representative makes a written application, accompanied by a copy of the final determination of the federal estate tax liability, if any, and other supporting documentation that the assessor may require, to the assessor for determination of the amount of the tax and discharge of personal liability for that tax, the assessor, as soon as possible and in any event within one year after the making of the application or, if the application is made before the return is filed, within one year after the return is filed, shall notify the personal representative of the amount of the tax and of any interest on that amount.  The personal representative, on payment of that amount, is discharged from personal liability for any deficiency in tax subsequently found to be due and is entitled to a certificate of discharge.</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§4106. Discharge of personal representative's personal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§4106. Discharge of personal representative's personal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§4106. DISCHARGE OF PERSONAL REPRESENTATIVE'S PERSONAL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