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4044</w:t>
        <w:t xml:space="preserve">.  </w:t>
      </w:r>
      <w:r>
        <w:rPr>
          <w:b/>
        </w:rPr>
        <w:t xml:space="preserve">Violations</w:t>
      </w:r>
    </w:p>
    <w:p>
      <w:pPr>
        <w:jc w:val="both"/>
        <w:spacing w:before="100" w:after="100"/>
        <w:ind w:start="360"/>
        <w:ind w:firstLine="360"/>
      </w:pPr>
      <w:r>
        <w:rPr/>
      </w:r>
      <w:r>
        <w:rPr/>
      </w:r>
      <w:r>
        <w:t xml:space="preserve">Unless either </w:t>
      </w:r>
      <w:r>
        <w:t>section 4042</w:t>
      </w:r>
      <w:r>
        <w:t xml:space="preserve"> or </w:t>
      </w:r>
      <w:r>
        <w:t>4043</w:t>
      </w:r>
      <w:r>
        <w:t xml:space="preserve"> shall have been complied with, no personal representative may be entitled to a final accounting or discharge in any Probate Court in this State.</w:t>
      </w:r>
      <w:r>
        <w:t xml:space="preserve">  </w:t>
      </w:r>
      <w:r xmlns:wp="http://schemas.openxmlformats.org/drawingml/2010/wordprocessingDrawing" xmlns:w15="http://schemas.microsoft.com/office/word/2012/wordml">
        <w:rPr>
          <w:rFonts w:ascii="Arial" w:hAnsi="Arial" w:cs="Arial"/>
          <w:sz w:val="22"/>
          <w:szCs w:val="22"/>
        </w:rPr>
        <w:t xml:space="preserve">[PL 1983, c. 480, Pt. A, §65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480, §A65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§4044.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§4044.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§4044.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