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1133</w:t>
        <w:t xml:space="preserve">.  </w:t>
      </w:r>
      <w:r>
        <w:rPr>
          <w:b/>
        </w:rPr>
        <w:t xml:space="preserve">Owner's application</w:t>
      </w:r>
    </w:p>
    <w:p>
      <w:pPr>
        <w:jc w:val="both"/>
        <w:spacing w:before="100" w:after="100"/>
        <w:ind w:start="360"/>
        <w:ind w:firstLine="360"/>
      </w:pPr>
      <w:r>
        <w:rPr/>
      </w:r>
      <w:r>
        <w:rPr/>
      </w:r>
      <w:r>
        <w:t xml:space="preserve">An owner or owners of land may elect to apply for taxation under this subchapter for the tax year beginning April 1, 2007 and for subsequent tax years by filing with the assessor the schedule provided for in </w:t>
      </w:r>
      <w:r>
        <w:t>section 1137,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466, Pt. A, §58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§1133. Owner's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§1133. Owner's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§1133. OWNER'S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