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1510-A</w:t>
        <w:t xml:space="preserve">.  </w:t>
      </w:r>
      <w:r>
        <w:rPr>
          <w:b/>
        </w:rPr>
        <w:t xml:space="preserve">Disposition of administrative penalty</w:t>
      </w:r>
    </w:p>
    <w:p>
      <w:pPr>
        <w:jc w:val="both"/>
        <w:spacing w:before="100" w:after="100"/>
        <w:ind w:start="360"/>
        <w:ind w:firstLine="360"/>
      </w:pPr>
      <w:r>
        <w:rPr/>
      </w:r>
      <w:r>
        <w:rPr/>
      </w:r>
      <w:r>
        <w:t xml:space="preserve">The disposition of administrative penalties collected by the commission is governed by </w:t>
      </w:r>
      <w:r>
        <w:t>section 117,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432,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§26 (NEW). PL 2005, c. 432,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§1510-A. Disposition of administrative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§1510-A. Disposition of administrative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§1510-A. DISPOSITION OF ADMINISTRATIVE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