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10206</w:t>
        <w:t xml:space="preserve">.  </w:t>
      </w:r>
      <w:r>
        <w:rPr>
          <w:b/>
        </w:rPr>
        <w:t xml:space="preserve">Commercial property owners</w:t>
      </w:r>
    </w:p>
    <w:p>
      <w:pPr>
        <w:jc w:val="both"/>
        <w:spacing w:before="100" w:after="0"/>
        <w:ind w:start="360"/>
        <w:ind w:firstLine="360"/>
      </w:pPr>
      <w:r>
        <w:rPr>
          <w:b/>
        </w:rPr>
        <w:t>1</w:t>
        <w:t xml:space="preserve">.  </w:t>
      </w:r>
      <w:r>
        <w:rPr>
          <w:b/>
        </w:rPr>
        <w:t xml:space="preserve">Purchase of goods and services.</w:t>
        <w:t xml:space="preserve"> </w:t>
      </w:r>
      <w:r>
        <w:t xml:space="preserve"> </w:t>
      </w:r>
      <w:r>
        <w:t xml:space="preserve">A commercial property owner who has entered into a commercial PACE agreement under this chapter may purchase directly all goods and services for the energy savings improvements described in the commercial PACE agreement, subject to any applicable vendor certification required by the trust and other requirements of the trust.  Goods and services purchased by a commercial property owner for the energy savings improvements under a commercial PACE agreement are not subject to any public procurement ordinance or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142, §1 (NEW).]</w:t>
      </w:r>
    </w:p>
    <w:p>
      <w:pPr>
        <w:jc w:val="both"/>
        <w:spacing w:before="100" w:after="0"/>
        <w:ind w:start="360"/>
        <w:ind w:firstLine="360"/>
      </w:pPr>
      <w:r>
        <w:rPr>
          <w:b/>
        </w:rPr>
        <w:t>2</w:t>
        <w:t xml:space="preserve">.  </w:t>
      </w:r>
      <w:r>
        <w:rPr>
          <w:b/>
        </w:rPr>
        <w:t xml:space="preserve">Rights.</w:t>
        <w:t xml:space="preserve"> </w:t>
      </w:r>
      <w:r>
        <w:t xml:space="preserve"> </w:t>
      </w:r>
      <w:r>
        <w:t xml:space="preserve">Commercial property owners retain all rights under contract or law against parties other than the municipality or the trust with respect to energy savings improvements financed through commercial PACE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§10206. Commercial property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§10206. Commercial property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§10206. COMMERCIAL PROPERTY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