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14508</w:t>
        <w:t xml:space="preserve">.  </w:t>
      </w:r>
      <w:r>
        <w:rPr>
          <w:b/>
        </w:rPr>
        <w:t xml:space="preserve">Renewal application</w:t>
      </w:r>
    </w:p>
    <w:p>
      <w:pPr>
        <w:jc w:val="both"/>
        <w:spacing w:before="100" w:after="100"/>
        <w:ind w:start="360"/>
        <w:ind w:firstLine="360"/>
      </w:pPr>
      <w:r>
        <w:rPr/>
      </w:r>
      <w:r>
        <w:rPr/>
      </w:r>
      <w:r>
        <w:t xml:space="preserve">An annual renewal application must be filed by the seller on October 31st or at such other times as the department designates.  The renewal application must include changes or additions to the information required by </w:t>
      </w:r>
      <w:r>
        <w:t>section 14507</w:t>
      </w:r>
      <w:r>
        <w:t xml:space="preserve">.   The renewal application must be accompanied by the renewal fee as set under </w:t>
      </w:r>
      <w:r>
        <w:t>section 14509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KK,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 PL 2001, c. 324, §8 (AMD). PL 2007, c. 402, Pt. KK,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§14508. Renewal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§14508. Renewal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§14508. RENEWAL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