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13714</w:t>
        <w:t xml:space="preserve">.  </w:t>
      </w:r>
      <w:r>
        <w:rPr>
          <w:b/>
        </w:rPr>
        <w:t xml:space="preserve">Appointment</w:t>
      </w:r>
    </w:p>
    <w:p>
      <w:pPr>
        <w:jc w:val="both"/>
        <w:spacing w:before="100" w:after="100"/>
        <w:ind w:start="360"/>
        <w:ind w:firstLine="360"/>
      </w:pPr>
      <w:r>
        <w:rPr/>
      </w:r>
      <w:r>
        <w:rPr/>
      </w:r>
      <w:r>
        <w:t xml:space="preserve">The Governor shall appoint the members of the board. Prior to appointing any pharmacist as a member of the board, the Governor may solicit recommendations of candidates from the Maine Pharmacy Association and other pharmaceutical organizations as appropriate.</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§13714.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§13714.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§13714.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