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7052</w:t>
        <w:t xml:space="preserve">.  </w:t>
      </w:r>
      <w:r>
        <w:rPr>
          <w:b/>
        </w:rPr>
        <w:t xml:space="preserve">Perambulation of boundary lines</w:t>
      </w:r>
    </w:p>
    <w:p>
      <w:pPr>
        <w:jc w:val="both"/>
        <w:spacing w:before="100" w:after="100"/>
        <w:ind w:start="360"/>
        <w:ind w:firstLine="360"/>
      </w:pPr>
      <w:r>
        <w:rPr/>
      </w:r>
      <w:r>
        <w:rPr/>
      </w:r>
      <w:r>
        <w:t>Sections 2851</w:t>
      </w:r>
      <w:r>
        <w:t xml:space="preserve"> and </w:t>
      </w:r>
      <w:r>
        <w:t>2852</w:t>
      </w:r>
      <w:r>
        <w:t xml:space="preserve">, which contain perambulation provisions for town lines, apply equally to plantations.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§7052. Perambulation of boundary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§7052. Perambulation of boundary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§7052. PERAMBULATION OF BOUNDARY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