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3427</w:t>
        <w:t xml:space="preserve">.  </w:t>
      </w:r>
      <w:r>
        <w:rPr>
          <w:b/>
        </w:rPr>
        <w:t xml:space="preserve">Violation of permit; nuisances</w:t>
      </w:r>
    </w:p>
    <w:p>
      <w:pPr>
        <w:jc w:val="both"/>
        <w:spacing w:before="100" w:after="100"/>
        <w:ind w:start="360"/>
        <w:ind w:firstLine="360"/>
      </w:pPr>
      <w:r>
        <w:rPr/>
      </w:r>
      <w:r>
        <w:rPr/>
      </w:r>
      <w:r>
        <w:t xml:space="preserve">If any person willfully or negligently violates any condition or regulation prescribed in the permit, the municipal officers may immediately disconnect their drain from the public drain and declare the permit forfeited.  That person, the person's heirs and assigns may not connect with the public drain again without a new permit.  Whoever commits a nuisance by the construction or use of a private drain is liable for that nuisance notwithstanding this 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§3427. Violation of permit; nuisances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§3427. Violation of permit; nuisances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§3427. VIOLATION OF PERMIT; NUISANCES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