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Sewer connections</w:t>
      </w:r>
    </w:p>
    <w:p>
      <w:pPr>
        <w:jc w:val="both"/>
        <w:spacing w:before="100" w:after="100"/>
        <w:ind w:start="360"/>
        <w:ind w:firstLine="360"/>
      </w:pPr>
      <w:r>
        <w:rPr/>
      </w:r>
      <w:r>
        <w:rPr/>
      </w:r>
      <w:r>
        <w:t xml:space="preserve">If required by municipal ordinance, the owner of each lot or parcel of land upon which a building has been constructed which abuts upon a street or public way containing a sewer shall connect that building with the sewer and shall cease using any other method for the disposal of waste water.  All such connections must comply with the applicable municipal ordinance, which may provide for a reasonable charge for making the connections.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§3405. Sewer connections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Sewer connections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§3405. SEWER CONNECTIONS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