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2602</w:t>
        <w:t xml:space="preserve">.  </w:t>
      </w:r>
      <w:r>
        <w:rPr>
          <w:b/>
        </w:rPr>
        <w:t xml:space="preserve">Vacancy in municipal office</w:t>
      </w:r>
    </w:p>
    <w:p>
      <w:pPr>
        <w:jc w:val="both"/>
        <w:spacing w:before="100" w:after="100"/>
        <w:ind w:start="360"/>
        <w:ind w:firstLine="360"/>
      </w:pPr>
      <w:r>
        <w:rPr>
          <w:b/>
        </w:rPr>
        <w:t>1</w:t>
        <w:t xml:space="preserve">.  </w:t>
      </w:r>
      <w:r>
        <w:rPr>
          <w:b/>
        </w:rPr>
        <w:t xml:space="preserve">When vacancy exists.</w:t>
        <w:t xml:space="preserve"> </w:t>
      </w:r>
      <w:r>
        <w:t xml:space="preserve"> </w:t>
      </w:r>
      <w:r>
        <w:t xml:space="preserve">A vacancy in a municipal office may occur by the following means:</w:t>
      </w:r>
    </w:p>
    <w:p>
      <w:pPr>
        <w:jc w:val="both"/>
        <w:spacing w:before="100" w:after="0"/>
        <w:ind w:start="720"/>
      </w:pPr>
      <w:r>
        <w:rPr/>
        <w:t>A</w:t>
        <w:t xml:space="preserve">.  </w:t>
      </w:r>
      <w:r>
        <w:rPr/>
      </w:r>
      <w:r>
        <w:t xml:space="preserve">Nonacceptance;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Resignation;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Death;</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Removal from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Permanent disability or incompetency;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Failure to qualify for the office within 10 days after written demand by the municipal officers;</w:t>
      </w:r>
      <w:r>
        <w:t xml:space="preserve">  </w:t>
      </w:r>
      <w:r xmlns:wp="http://schemas.openxmlformats.org/drawingml/2010/wordprocessingDrawing" xmlns:w15="http://schemas.microsoft.com/office/word/2012/wordml">
        <w:rPr>
          <w:rFonts w:ascii="Arial" w:hAnsi="Arial" w:cs="Arial"/>
          <w:sz w:val="22"/>
          <w:szCs w:val="22"/>
        </w:rPr>
        <w:t xml:space="preserve">[PL 2011, c. 324, §2 (AMD).]</w:t>
      </w:r>
    </w:p>
    <w:p>
      <w:pPr>
        <w:jc w:val="both"/>
        <w:spacing w:before="100" w:after="0"/>
        <w:ind w:start="720"/>
      </w:pPr>
      <w:r>
        <w:rPr/>
        <w:t>G</w:t>
        <w:t xml:space="preserve">.  </w:t>
      </w:r>
      <w:r>
        <w:rPr/>
      </w:r>
      <w:r>
        <w:t xml:space="preserve">Failure of the municipality to elect a person to office; or</w:t>
      </w:r>
      <w:r>
        <w:t xml:space="preserve">  </w:t>
      </w:r>
      <w:r xmlns:wp="http://schemas.openxmlformats.org/drawingml/2010/wordprocessingDrawing" xmlns:w15="http://schemas.microsoft.com/office/word/2012/wordml">
        <w:rPr>
          <w:rFonts w:ascii="Arial" w:hAnsi="Arial" w:cs="Arial"/>
          <w:sz w:val="22"/>
          <w:szCs w:val="22"/>
        </w:rPr>
        <w:t xml:space="preserve">[PL 2011, c. 324, §3 (AMD).]</w:t>
      </w:r>
    </w:p>
    <w:p>
      <w:pPr>
        <w:jc w:val="both"/>
        <w:spacing w:before="100" w:after="0"/>
        <w:ind w:start="720"/>
      </w:pPr>
      <w:r>
        <w:rPr/>
        <w:t>H</w:t>
        <w:t xml:space="preserve">.  </w:t>
      </w:r>
      <w:r>
        <w:rPr/>
      </w:r>
      <w:r>
        <w:t xml:space="preserve">Recall pursuant to </w:t>
      </w:r>
      <w:r>
        <w:t>section 2505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324,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324, §§2-4 (AMD).]</w:t>
      </w:r>
    </w:p>
    <w:p>
      <w:pPr>
        <w:jc w:val="both"/>
        <w:spacing w:before="100" w:after="0"/>
        <w:ind w:start="360"/>
        <w:ind w:firstLine="360"/>
      </w:pPr>
      <w:r>
        <w:rPr>
          <w:b/>
        </w:rPr>
        <w:t>2</w:t>
        <w:t xml:space="preserve">.  </w:t>
      </w:r>
      <w:r>
        <w:rPr>
          <w:b/>
        </w:rPr>
        <w:t xml:space="preserve">Vacancy in office other than member of select board or school committee.</w:t>
        <w:t xml:space="preserve"> </w:t>
      </w:r>
      <w:r>
        <w:t xml:space="preserve"> </w:t>
      </w:r>
      <w:r>
        <w:t xml:space="preserve">When there is a vacancy in a town office other than a vacancy on the select board or school committee, the select board may appoint a qualified person to fill the vacancy.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§34 (AMD).]</w:t>
      </w:r>
    </w:p>
    <w:p>
      <w:pPr>
        <w:jc w:val="both"/>
        <w:spacing w:before="100" w:after="0"/>
        <w:ind w:start="360"/>
        <w:ind w:firstLine="360"/>
      </w:pPr>
      <w:r>
        <w:rPr>
          <w:b/>
        </w:rPr>
        <w:t>3</w:t>
        <w:t xml:space="preserve">.  </w:t>
      </w:r>
      <w:r>
        <w:rPr>
          <w:b/>
        </w:rPr>
        <w:t xml:space="preserve">Vacancy in office of member of select board.</w:t>
        <w:t xml:space="preserve"> </w:t>
      </w:r>
      <w:r>
        <w:t xml:space="preserve"> </w:t>
      </w:r>
      <w:r>
        <w:t xml:space="preserve">When there is a vacancy on the select board, the select board may call a town meeting to elect a qualified person to fill the vacancy.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§35 (AMD).]</w:t>
      </w:r>
    </w:p>
    <w:p>
      <w:pPr>
        <w:jc w:val="both"/>
        <w:spacing w:before="100" w:after="0"/>
        <w:ind w:start="360"/>
        <w:ind w:firstLine="360"/>
      </w:pPr>
      <w:r>
        <w:rPr>
          <w:b/>
        </w:rPr>
        <w:t>4</w:t>
        <w:t xml:space="preserve">.  </w:t>
      </w:r>
      <w:r>
        <w:rPr>
          <w:b/>
        </w:rPr>
        <w:t xml:space="preserve">Vacancy in school committee.</w:t>
        <w:t xml:space="preserve"> </w:t>
      </w:r>
      <w:r>
        <w:t xml:space="preserve"> </w:t>
      </w:r>
      <w:r>
        <w:t xml:space="preserve">A vacancy in a municipality's school committee shall be filled as provided in </w:t>
      </w:r>
      <w:r>
        <w:t>Title 20‑A, section 2305,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Person appointed qualifies.</w:t>
        <w:t xml:space="preserve"> </w:t>
      </w:r>
      <w:r>
        <w:t xml:space="preserve"> </w:t>
      </w:r>
      <w:r>
        <w:t xml:space="preserve">The person appointed to fill a vacant office must qualify in the same manner as one chosen in the regular course of municipal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6</w:t>
        <w:t xml:space="preserve">.  </w:t>
      </w:r>
      <w:r>
        <w:rPr>
          <w:b/>
        </w:rPr>
        <w:t xml:space="preserve">Home rule authority.</w:t>
        <w:t xml:space="preserve"> </w:t>
      </w:r>
      <w:r>
        <w:t xml:space="preserve"> </w:t>
      </w:r>
      <w:r>
        <w:t xml:space="preserve">Under its home rule authority, a municipality may apply different provisions governing the existence of vacancies in municipal offices and the method of filling those vacancies as follows:</w:t>
      </w:r>
    </w:p>
    <w:p>
      <w:pPr>
        <w:jc w:val="both"/>
        <w:spacing w:before="100" w:after="0"/>
        <w:ind w:start="720"/>
      </w:pPr>
      <w:r>
        <w:rPr/>
        <w:t>A</w:t>
        <w:t xml:space="preserve">.  </w:t>
      </w:r>
      <w:r>
        <w:rPr/>
      </w:r>
      <w:r>
        <w:t xml:space="preserve">Any change in the provisions of this section relating to a school committee must be accomplished by charter; and</w:t>
      </w:r>
      <w:r>
        <w:t xml:space="preserve">  </w:t>
      </w:r>
      <w:r xmlns:wp="http://schemas.openxmlformats.org/drawingml/2010/wordprocessingDrawing" xmlns:w15="http://schemas.microsoft.com/office/word/2012/wordml">
        <w:rPr>
          <w:rFonts w:ascii="Arial" w:hAnsi="Arial" w:cs="Arial"/>
          <w:sz w:val="22"/>
          <w:szCs w:val="22"/>
        </w:rPr>
        <w:t xml:space="preserve">[PL 1993, c. 369, §1 (AMD).]</w:t>
      </w:r>
    </w:p>
    <w:p>
      <w:pPr>
        <w:jc w:val="both"/>
        <w:spacing w:before="100" w:after="0"/>
        <w:ind w:start="720"/>
      </w:pPr>
      <w:r>
        <w:rPr/>
        <w:t>B</w:t>
        <w:t xml:space="preserve">.  </w:t>
      </w:r>
      <w:r>
        <w:rPr/>
      </w:r>
      <w:r>
        <w:t xml:space="preserve">Any change in the provisions of this section relating to any other municipal office may be accomplished by charter or ordinance.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369, §1 (AMD).]</w:t>
      </w:r>
    </w:p>
    <w:p>
      <w:pPr>
        <w:jc w:val="both"/>
        <w:spacing w:before="100" w:after="0"/>
        <w:ind w:start="360"/>
        <w:ind w:firstLine="360"/>
      </w:pPr>
      <w:r>
        <w:rPr>
          <w:b/>
        </w:rPr>
        <w:t>7</w:t>
        <w:t xml:space="preserve">.  </w:t>
      </w:r>
      <w:r>
        <w:rPr>
          <w:b/>
        </w:rPr>
        <w:t xml:space="preserve">Authority to act.</w:t>
        <w:t xml:space="preserve"> </w:t>
      </w:r>
      <w:r>
        <w:t xml:space="preserve"> </w:t>
      </w:r>
      <w:r>
        <w:t xml:space="preserve">Words in any statute, charter or ordinance giving authority to 3 or more persons authorize a majority to act when the statute, charter or ordinance does not otherwise specify.  Notwithstanding any law to the contrary, a vacancy on an elected or appointed municipal or quasi-municipal body does not in itself impair the authority of the remaining members to act unless a statute, charter or ordinance expressly prohibits the municipal or quasi-municipal body from acting during the period of any vacancy and does not in itself affect the validity of any action no matter when taken.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396, §3 (NEW); PL 2007, c. 396,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270, §3 (AMD). PL 1993, c. 369, §1 (AMD). PL 2007, c. 396, §3 (AMD). PL 2007, c. 396, §4 (AFF). PL 2011, c. 324, §§2-4 (AMD). PL 2021, c. 275, §§34,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§2602. Vacancy in municipal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§2602. Vacancy in municipal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§2602. VACANCY IN MUNICIPAL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