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2502</w:t>
        <w:t xml:space="preserve">.  </w:t>
      </w:r>
      <w:r>
        <w:rPr>
          <w:b/>
        </w:rPr>
        <w:t xml:space="preserve">Campaign reports and registrations in municipal elections</w:t>
      </w:r>
    </w:p>
    <w:p>
      <w:pPr>
        <w:jc w:val="both"/>
        <w:spacing w:before="100" w:after="100"/>
        <w:ind w:start="360"/>
        <w:ind w:firstLine="360"/>
      </w:pPr>
      <w:r>
        <w:rPr>
          <w:b/>
        </w:rPr>
        <w:t>1</w:t>
        <w:t xml:space="preserve">.  </w:t>
      </w:r>
      <w:r>
        <w:rPr>
          <w:b/>
        </w:rPr>
        <w:t xml:space="preserve">Reports and registrations by candidates.</w:t>
        <w:t xml:space="preserve"> </w:t>
      </w:r>
      <w:r>
        <w:t xml:space="preserve"> </w:t>
      </w:r>
      <w:r>
        <w:t xml:space="preserve">Financial activities by candidates and others to influence elections for municipal office in a town or city with a population of 15,000 or more are governed by </w:t>
      </w:r>
      <w:r>
        <w:t>Title 21‑A, sections 1001</w:t>
      </w:r>
      <w:r>
        <w:t xml:space="preserve"> to </w:t>
      </w:r>
      <w:r>
        <w:t>1020‑A</w:t>
      </w:r>
      <w:r>
        <w:t xml:space="preserve">, except that registrations and campaign finance reports must be filed with the municipal clerk instead of the Commission on Governmental Ethics and Election Practices.  A town or city with a population of less than 15,000 may choose to be governed by </w:t>
      </w:r>
      <w:r>
        <w:t>Title 21‑A, sections 1001</w:t>
      </w:r>
      <w:r>
        <w:t xml:space="preserve"> to </w:t>
      </w:r>
      <w:r>
        <w:t>1020‑A</w:t>
      </w:r>
      <w:r>
        <w:t xml:space="preserve"> by vote of its legislative body at least 90 days before an election for office.  A town or city that votes to adopt those provisions may revoke that decision, but it must do so at least 90 days before an election subject to those sections.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366, §10 (RP); PL 2009, c. 366, §12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224, §30 (AMD).]</w:t>
      </w:r>
    </w:p>
    <w:p>
      <w:pPr>
        <w:jc w:val="both"/>
        <w:spacing w:before="100" w:after="0"/>
        <w:ind w:start="360"/>
        <w:ind w:firstLine="360"/>
      </w:pPr>
      <w:r>
        <w:rPr>
          <w:b/>
        </w:rPr>
        <w:t>2</w:t>
        <w:t xml:space="preserve">.  </w:t>
      </w:r>
      <w:r>
        <w:rPr>
          <w:b/>
        </w:rPr>
        <w:t xml:space="preserve">Municipal referenda campaigns.</w:t>
        <w:t xml:space="preserve"> </w:t>
      </w:r>
      <w:r>
        <w:t xml:space="preserve"> </w:t>
      </w:r>
      <w:r>
        <w:t xml:space="preserve">Municipal referenda campaigns are governed by </w:t>
      </w:r>
      <w:r>
        <w:t>Title 21‑A, chapter 13, subchapter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224, §30 (AMD).]</w:t>
      </w:r>
    </w:p>
    <w:p>
      <w:pPr>
        <w:jc w:val="both"/>
        <w:spacing w:before="100" w:after="0"/>
        <w:ind w:start="360"/>
        <w:ind w:firstLine="360"/>
      </w:pPr>
      <w:r>
        <w:rPr>
          <w:b/>
        </w:rPr>
        <w:t>3</w:t>
        <w:t xml:space="preserve">.  </w:t>
      </w:r>
      <w:r>
        <w:rPr>
          <w:b/>
        </w:rPr>
        <w:t xml:space="preserve">Public access to records.</w:t>
        <w:t xml:space="preserve"> </w:t>
      </w:r>
      <w:r>
        <w:t xml:space="preserve"> </w:t>
      </w:r>
      <w:r>
        <w:t xml:space="preserve">A town or city that receives registrations or reports pursuant to this section must keep them for 8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389, §60 (AMD); PL 2011, c. 389, §62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1995, c. 483, §22 (AMD). PL 1997, c. 567, §2 (AMD). PL 1999, c. 645, §15 (AMD). PL 2009, c. 366, §10 (AMD). PL 2009, c. 366, §12 (AFF). PL 2011, c. 389, §60 (AMD). PL 2011, c. 389, §62 (AFF). PL 2023, c. 314, §2 (AMD). PL 2025, c. 224, §30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§2502. Campaign reports and registrations in municipal elections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§2502. Campaign reports and registrations in municipal elections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§2502. CAMPAIGN REPORTS AND REGISTRATIONS IN MUNICIPAL ELECTIONS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