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w:t>
        <w:t xml:space="preserve">.  </w:t>
      </w:r>
      <w:r>
        <w:rPr>
          <w:b/>
        </w:rPr>
        <w:t xml:space="preserve">Confidentiality</w:t>
      </w:r>
    </w:p>
    <w:p>
      <w:pPr>
        <w:jc w:val="both"/>
        <w:spacing w:before="100" w:after="100"/>
        <w:ind w:start="360"/>
        <w:ind w:firstLine="360"/>
      </w:pPr>
      <w:r>
        <w:rPr/>
      </w:r>
      <w:r>
        <w:rPr/>
      </w:r>
      <w:r>
        <w:t xml:space="preserve">The home address, telephone number and e-mail address of the applicant, employees of the applicant and all natural persons having a direct or indirect financial interest in the applied-for license are confidential.</w:t>
      </w:r>
      <w:r>
        <w:t xml:space="preserve">  </w:t>
      </w:r>
      <w:r xmlns:wp="http://schemas.openxmlformats.org/drawingml/2010/wordprocessingDrawing" xmlns:w15="http://schemas.microsoft.com/office/word/2012/wordml">
        <w:rPr>
          <w:rFonts w:ascii="Arial" w:hAnsi="Arial" w:cs="Arial"/>
          <w:sz w:val="22"/>
          <w:szCs w:val="22"/>
        </w:rPr>
        <w:t xml:space="preserve">[PL 2023, c. 396,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396,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 Confidentiality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 Confidentiality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§114. CONFIDENTIALITY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