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§28 (AMD). PL 2017, c. 452, §37 (REV). PL 2019, c. 12, Pt. B, §12 (AMD). PL 2019, c. 528, §§17-19 (AMD). PL 2019, c. 676, §§1-4 (AMD). PL 2021, c. 226, §§1, 2 (AMD). PL 2021, c. 251, §5 (AMD). PL 2021, c. 669, §4 (AMD). PL 2021, c. 669, §5 (REV). RR 2021, c. 2, Pt. A, §§103-105 (COR). PL 2023, c. 6, §12 (AMD). PL 2023, c. 408, §§1-3 (AMD). PL 2023, c. 679, Pt. B,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