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Sales to minors or intoxicated persons</w:t>
      </w:r>
    </w:p>
    <w:p>
      <w:pPr>
        <w:jc w:val="both"/>
        <w:spacing w:before="100" w:after="100"/>
        <w:ind w:start="360"/>
        <w:ind w:firstLine="360"/>
      </w:pPr>
      <w:r>
        <w:rPr/>
      </w:r>
      <w:r>
        <w:rPr/>
      </w:r>
      <w:r>
        <w:t xml:space="preserve">An agency liquor store may not sell liquor to a minor or to a visibly intoxicated person.</w:t>
      </w:r>
      <w:r>
        <w:t xml:space="preserve">  </w:t>
      </w:r>
      <w:r xmlns:wp="http://schemas.openxmlformats.org/drawingml/2010/wordprocessingDrawing" xmlns:w15="http://schemas.microsoft.com/office/word/2012/wordml">
        <w:rPr>
          <w:rFonts w:ascii="Arial" w:hAnsi="Arial" w:cs="Arial"/>
          <w:sz w:val="22"/>
          <w:szCs w:val="22"/>
        </w:rPr>
        <w:t xml:space="preserve">[PL 2013, c. 476, Pt. A,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2013, c. 368, Pt. V, §29 (AMD). PL 2013, c. 476, Pt. A,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§354. Sales to minors or intoxicated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Sales to minors or intoxicated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§354. SALES TO MINORS OR INTOXICATED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