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w:t>
        <w:t xml:space="preserve">.  </w:t>
      </w:r>
      <w:r>
        <w:rPr>
          <w:b/>
        </w:rPr>
        <w:t xml:space="preserve">Contracts for works of art</w:t>
      </w:r>
    </w:p>
    <w:p>
      <w:pPr>
        <w:jc w:val="both"/>
        <w:spacing w:before="100" w:after="100"/>
        <w:ind w:start="360"/>
        <w:ind w:firstLine="360"/>
      </w:pPr>
      <w:r>
        <w:rPr/>
      </w:r>
      <w:r>
        <w:rPr/>
      </w:r>
      <w:r>
        <w:t xml:space="preserve">For purposes of this chapter, expenditures for works of art shall be contracted for separately from all other items in any original construction of any public building or facility. Contracts shall be made according to </w:t>
      </w:r>
      <w:r>
        <w:t>section 457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 Contracts for works of 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 Contracts for works of 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§454. CONTRACTS FOR WORKS OF 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