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w:t>
        <w:t xml:space="preserve">.  </w:t>
      </w:r>
      <w:r>
        <w:rPr>
          <w:b/>
        </w:rPr>
        <w:t xml:space="preserve">Arts Education Program</w:t>
      </w:r>
    </w:p>
    <w:p>
      <w:pPr>
        <w:jc w:val="both"/>
        <w:spacing w:before="100" w:after="100"/>
        <w:ind w:start="360"/>
        <w:ind w:firstLine="360"/>
      </w:pPr>
      <w:r>
        <w:rPr/>
      </w:r>
      <w:r>
        <w:rPr/>
      </w:r>
      <w:r>
        <w:t xml:space="preserve">The Maine Arts Commission shall establish the Arts Education Program, referred to in this subchapter as "the program."</w:t>
      </w:r>
      <w:r>
        <w:t xml:space="preserve">  </w:t>
      </w:r>
      <w:r xmlns:wp="http://schemas.openxmlformats.org/drawingml/2010/wordprocessingDrawing" xmlns:w15="http://schemas.microsoft.com/office/word/2012/wordml">
        <w:rPr>
          <w:rFonts w:ascii="Arial" w:hAnsi="Arial" w:cs="Arial"/>
          <w:sz w:val="22"/>
          <w:szCs w:val="22"/>
        </w:rPr>
        <w:t xml:space="preserve">[PL 2013, c. 181,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 PL 2013, c. 181,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 Arts Education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 Arts Education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§411. ARTS EDUCATION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