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t xml:space="preserve">Prohibited practice; board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§65 (COR).]</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RR 2023, c. 2, Pt. E,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§979-H.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§979-H.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§979-H.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