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Administrative organization</w:t>
      </w:r>
    </w:p>
    <w:p>
      <w:pPr>
        <w:jc w:val="both"/>
        <w:spacing w:before="100" w:after="0"/>
        <w:ind w:start="360"/>
        <w:ind w:firstLine="360"/>
      </w:pPr>
      <w:r>
        <w:rPr>
          <w:b/>
        </w:rPr>
        <w:t>1</w:t>
        <w:t xml:space="preserve">.  </w:t>
      </w:r>
      <w:r>
        <w:rPr>
          <w:b/>
        </w:rPr>
        <w:t xml:space="preserve">Commission.</w:t>
        <w:t xml:space="preserve"> </w:t>
      </w:r>
      <w:r>
        <w:t xml:space="preserve"> </w:t>
      </w:r>
      <w:r>
        <w:t xml:space="preserve">The Maine Unemployment Insurance Commission consists of 3 members, one of whom must be a representative of labor, one of whom must be a representative of employers and one of whom must be a representative of the general public who shall be impartial, must be an attorney admitted to the practice of law in the State and is the chair of the commission.  Except as provided in this subsection, the 3 members and their successors must be appointed by the Governor, subject to review by the joint standing committee of the Legislature having jurisdiction over labor matters and to confirmation by the Senate, to hold office for a term of 6 years or until a successor has been duly appointed and confirmed, except that any member appointed to fill a vacancy occurring prior to the expiration of the term for which a predecessor was appointed must be appointed for the remainder of the term.  During a term of membership on the commission, a member may not engage in any other business, vocation or employment, nor serve as an officer or committee member of any political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§84 (COR).]</w:t>
      </w:r>
    </w:p>
    <w:p>
      <w:pPr>
        <w:jc w:val="both"/>
        <w:spacing w:before="100" w:after="0"/>
        <w:ind w:start="360"/>
        <w:ind w:firstLine="360"/>
      </w:pPr>
      <w:r>
        <w:rPr>
          <w:b/>
        </w:rPr>
        <w:t>2</w:t>
        <w:t xml:space="preserve">.  </w:t>
      </w:r>
      <w:r>
        <w:rPr>
          <w:b/>
        </w:rPr>
        <w:t xml:space="preserve">Salaries.</w:t>
        <w:t xml:space="preserve"> </w:t>
      </w:r>
      <w:r>
        <w:t xml:space="preserve"> </w:t>
      </w:r>
      <w:r>
        <w:t xml:space="preserve">The members of the commission shall receive a fixed weekly salary in accordance with </w:t>
      </w:r>
      <w:r>
        <w:t>Title 2, section 6</w:t>
      </w:r>
      <w:r>
        <w:t xml:space="preserve">, and shall be paid from the Employment Security Administration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§144 (AMD).]</w:t>
      </w:r>
    </w:p>
    <w:p>
      <w:pPr>
        <w:jc w:val="both"/>
        <w:spacing w:before="100" w:after="0"/>
        <w:ind w:start="360"/>
        <w:ind w:firstLine="360"/>
      </w:pPr>
      <w:r>
        <w:rPr>
          <w:b/>
        </w:rPr>
        <w:t>3</w:t>
        <w:t xml:space="preserve">.  </w:t>
      </w:r>
      <w:r>
        <w:rPr>
          <w:b/>
        </w:rPr>
        <w:t xml:space="preserve">Quorum.</w:t>
        <w:t xml:space="preserve"> </w:t>
      </w:r>
      <w:r>
        <w:t xml:space="preserve"> </w:t>
      </w:r>
      <w:r>
        <w:t xml:space="preserve">Any 2 members of the commission constitutes a quorum.  Whenever the commission hears a case under this chapter and Title 36, chapter 831, the chair shall act alone in the absence or disqualification of any other member, except that in the event of illness or extended absence on the part of the chair or in the event of a vacancy in that position, the remaining members may act on appeals, conduct hearings and render decisions, as long as both members agree.  Except as otherwise provided, a vacancy may not impair the right of the remaining members to exercise all of the powers of the commission.  Any action, decision, order, rule or recommendation that is required by law to be made by the Maine Unemployment Insurance Commission may not be made until the commission has held a meeting in the regular course of its business for which all members have been provided with reasonable notice of the meeting and its agenda.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§85 (COR).]</w:t>
      </w:r>
    </w:p>
    <w:p>
      <w:pPr>
        <w:jc w:val="both"/>
        <w:spacing w:before="100" w:after="0"/>
        <w:ind w:start="360"/>
        <w:ind w:firstLine="360"/>
      </w:pPr>
      <w:r>
        <w:rPr>
          <w:b/>
        </w:rPr>
        <w:t>4</w:t>
        <w:t xml:space="preserve">.  </w:t>
      </w:r>
      <w:r>
        <w:rPr>
          <w:b/>
        </w:rPr>
        <w:t xml:space="preserve">Removal.</w:t>
        <w:t xml:space="preserve"> </w:t>
      </w:r>
      <w:r>
        <w:t xml:space="preserve"> </w:t>
      </w:r>
      <w:r>
        <w:t xml:space="preserve">Members of the commission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commission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ZZZZ,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328 (AMD). PL 1967, c. 476, §21 (AMD). PL 1967, c. 494, §§21-A (AMD). PL 1969, c. 504, §44 (AMD). PL 1971, c. 620, §§2-5 (AMD). PL 1975, c. 771, §285 (AMD). PL 1977, c. 675, §§3-5 (AMD). PL 1981, c. 286, §1 (AMD). PL 1981, c. 470, §A144 (AMD). PL 1983, c. 351, §§6,7 (AMD). PL 1987, c. 641, §§1,2 (AMD). PL 2017, c. 284, Pt. ZZZZ, §1 (AMD). RR 2023, c. 2, Pt. E, §§84,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§1081. Administrative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Administrative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§1081. ADMINISTRATIVE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