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1045</w:t>
        <w:t xml:space="preserve">.  </w:t>
      </w:r>
      <w:r>
        <w:rPr>
          <w:b/>
        </w:rPr>
        <w:t xml:space="preserve">Representation in court</w:t>
      </w:r>
    </w:p>
    <w:p>
      <w:pPr>
        <w:jc w:val="both"/>
        <w:spacing w:before="100" w:after="0"/>
        <w:ind w:start="360"/>
        <w:ind w:firstLine="360"/>
      </w:pPr>
      <w:r>
        <w:rPr>
          <w:b/>
        </w:rPr>
        <w:t>1</w:t>
        <w:t xml:space="preserve">.  </w:t>
      </w:r>
      <w:r>
        <w:rPr>
          <w:b/>
        </w:rPr>
        <w:t xml:space="preserve">Civil actions.</w:t>
        <w:t xml:space="preserve"> </w:t>
      </w:r>
      <w:r>
        <w:t xml:space="preserve"> </w:t>
      </w:r>
      <w:r>
        <w:t xml:space="preserve">In any civil action to enforce this chapter the bureau and the State may be represented by any qualified attorney who is employed by the bureau and designated by it for this purpose or at the commissioner's request by the Attorney General.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351, §4 (AMD).]</w:t>
      </w:r>
    </w:p>
    <w:p>
      <w:pPr>
        <w:jc w:val="both"/>
        <w:spacing w:before="100" w:after="0"/>
        <w:ind w:start="360"/>
        <w:ind w:firstLine="360"/>
      </w:pPr>
      <w:r>
        <w:rPr>
          <w:b/>
        </w:rPr>
        <w:t>2</w:t>
        <w:t xml:space="preserve">.  </w:t>
      </w:r>
      <w:r>
        <w:rPr>
          <w:b/>
        </w:rPr>
        <w:t xml:space="preserve">Criminal actions.</w:t>
        <w:t xml:space="preserve"> </w:t>
      </w:r>
      <w:r>
        <w:t xml:space="preserve"> </w:t>
      </w:r>
      <w:r>
        <w:t xml:space="preserve">All criminal actions for violation of any provision of this chapter, or of any regulations issued pursuant thereto, shall be prosecuted by the Attorney General or district attorney.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470, Pt. A, §143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470, §A143 (AMD). PL 1983, c. 351,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§1045. Representation in court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§1045. Representation in court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§1045. REPRESENTATION IN COURT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