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2541</w:t>
        <w:t xml:space="preserve">.  </w:t>
      </w:r>
      <w:r>
        <w:rPr>
          <w:b/>
        </w:rPr>
        <w:t xml:space="preserve">Short title</w:t>
      </w:r>
    </w:p>
    <w:p>
      <w:pPr>
        <w:jc w:val="both"/>
        <w:spacing w:before="100" w:after="100"/>
        <w:ind w:start="360"/>
        <w:ind w:firstLine="360"/>
      </w:pPr>
      <w:r>
        <w:rPr/>
      </w:r>
      <w:r>
        <w:rPr/>
      </w:r>
      <w:r>
        <w:t xml:space="preserve">Sections 2541 to </w:t>
      </w:r>
      <w:r>
        <w:t>2551</w:t>
      </w:r>
      <w:r>
        <w:t xml:space="preserve"> shall be known as the "Standard Nonforfeiture Law for Individual Deferred Annuities."</w:t>
      </w:r>
      <w:r>
        <w:t xml:space="preserve">  </w:t>
      </w:r>
      <w:r xmlns:wp="http://schemas.openxmlformats.org/drawingml/2010/wordprocessingDrawing" xmlns:w15="http://schemas.microsoft.com/office/word/2012/wordml">
        <w:rPr>
          <w:rFonts w:ascii="Arial" w:hAnsi="Arial" w:cs="Arial"/>
          <w:sz w:val="22"/>
          <w:szCs w:val="22"/>
        </w:rPr>
        <w:t xml:space="preserve">[PL 1979, c. 442,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§2541.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