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5170</w:t>
        <w:t xml:space="preserve">.  </w:t>
      </w:r>
      <w:r>
        <w:rPr>
          <w:b/>
        </w:rPr>
        <w:t xml:space="preserve">Anyone interested in subsequent mortgage may redeem</w:t>
      </w:r>
    </w:p>
    <w:p>
      <w:pPr>
        <w:jc w:val="both"/>
        <w:spacing w:before="100" w:after="100"/>
        <w:ind w:start="360"/>
        <w:ind w:firstLine="360"/>
      </w:pPr>
      <w:r>
        <w:rPr/>
      </w:r>
      <w:r>
        <w:rPr/>
      </w:r>
      <w:r>
        <w:t xml:space="preserve">If no meeting is called or it is voted not to redeem, one or more of the persons interested in the subsequent mortgage may pay to the trustees the amount required to redeem the prior mortgage, and the trustees shall redeem it accordingly and then hold it in trust for the person so paying.</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§5170. Anyone interested in subsequent mortgage may redeem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§5170. Anyone interested in subsequent mortgage may redeem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§5170. ANYONE INTERESTED IN SUBSEQUENT MORTGAGE MAY REDEEM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