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§§43, 44 (AMD). PL 2011, c. 407, Pt. B, §§33, 34 (AMD). PL 2017, c. 452,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