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6623</w:t>
        <w:t xml:space="preserve">.  </w:t>
      </w:r>
      <w:r>
        <w:rPr>
          <w:b/>
        </w:rPr>
        <w:t xml:space="preserve">Marketing</w:t>
      </w:r>
    </w:p>
    <w:p>
      <w:pPr>
        <w:jc w:val="both"/>
        <w:spacing w:before="100" w:after="100"/>
        <w:ind w:start="360"/>
        <w:ind w:firstLine="360"/>
      </w:pPr>
      <w:r>
        <w:rPr/>
      </w:r>
      <w:r>
        <w:rPr/>
      </w:r>
      <w:r>
        <w:t xml:space="preserve">A teacher, athletic director, sports coach or other school official or employee may not sell, distribute or promote a performance-enhancing substance on the list of banned substances developed and maintained under </w:t>
      </w:r>
      <w:r>
        <w:t>section 6621</w:t>
      </w:r>
      <w:r>
        <w:t xml:space="preserve">.  A school may not accept a sponsorship from a manufacturer of a performance-enhancing substance on the list of banned substances. A person who violates this section is subject to sanctions as determined by the governing body with statutory  powers and duties for the school administrative unit in which that person is employed or serving in a coaching or other official capacity.</w:t>
      </w:r>
      <w:r>
        <w:t xml:space="preserve">  </w:t>
      </w:r>
      <w:r xmlns:wp="http://schemas.openxmlformats.org/drawingml/2010/wordprocessingDrawing" xmlns:w15="http://schemas.microsoft.com/office/word/2012/wordml">
        <w:rPr>
          <w:rFonts w:ascii="Arial" w:hAnsi="Arial" w:cs="Arial"/>
          <w:sz w:val="22"/>
          <w:szCs w:val="22"/>
        </w:rPr>
        <w:t xml:space="preserve">[PL 2005, c. 674,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674,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§6623. Marketing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§6623. Marketing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§6623. MARKETING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