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2952</w:t>
        <w:t xml:space="preserve">.  </w:t>
      </w:r>
      <w:r>
        <w:rPr>
          <w:b/>
        </w:rPr>
        <w:t xml:space="preserve">Report to commissioner</w:t>
      </w:r>
    </w:p>
    <w:p>
      <w:pPr>
        <w:jc w:val="both"/>
        <w:spacing w:before="100" w:after="100"/>
        <w:ind w:start="360"/>
        <w:ind w:firstLine="360"/>
      </w:pPr>
      <w:r>
        <w:rPr/>
      </w:r>
      <w:r>
        <w:rPr/>
      </w:r>
      <w:r>
        <w:t xml:space="preserve">A private school receiving state funds, either directly or indirectly, and a private school approved for tuition and attendance purposes shall annually, in accordance with time schedules established by the commissioner, report to the commissioner the information the commissioner may require.</w:t>
      </w:r>
      <w:r>
        <w:t xml:space="preserve">  </w:t>
      </w:r>
      <w:r xmlns:wp="http://schemas.openxmlformats.org/drawingml/2010/wordprocessingDrawing" xmlns:w15="http://schemas.microsoft.com/office/word/2012/wordml">
        <w:rPr>
          <w:rFonts w:ascii="Arial" w:hAnsi="Arial" w:cs="Arial"/>
          <w:sz w:val="22"/>
          <w:szCs w:val="22"/>
        </w:rPr>
        <w:t xml:space="preserve">[PL 2005, c. 153,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806, §28 (AMD). PL 2005, c. 153,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§2952. Report to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§2952. Report to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§2952. REPORT TO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