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12525</w:t>
        <w:t xml:space="preserve">.  </w:t>
      </w:r>
      <w:r>
        <w:rPr>
          <w:b/>
        </w:rPr>
        <w:t xml:space="preserve">Maximum loan repayment; participation</w:t>
      </w:r>
    </w:p>
    <w:p>
      <w:pPr>
        <w:jc w:val="both"/>
        <w:spacing w:before="100" w:after="100"/>
        <w:ind w:start="360"/>
        <w:ind w:firstLine="360"/>
      </w:pPr>
      <w:r>
        <w:rPr/>
      </w:r>
      <w:r>
        <w:rPr/>
      </w:r>
      <w:r>
        <w:t xml:space="preserve">The maximum program loan repayment amount available to each eligible individual, excluding the employer's match under </w:t>
      </w:r>
      <w:r>
        <w:t>section 12526</w:t>
      </w:r>
      <w:r>
        <w:t xml:space="preserve">, is $2,500 per year, for a maximum of 4 years.  No more than 10 program loan repayment agreements may be awarded in any year.  The authority may not award more than 40% of the program loan repayment agreements in any one year to individuals who are eligible under the provisions of </w:t>
      </w:r>
      <w:r>
        <w:t>section 12521, subsection 5,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710,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710,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§12525. Maximum loan repayment; participation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§12525. Maximum loan repayment; participation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§12525. MAXIMUM LOAN REPAYMENT; PARTICIPATION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