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 son or daughter under 21 years of age or a son or daughter who is incapable of earning a living and without sufficient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w:t>
        <w:t xml:space="preserve"> </w:t>
      </w:r>
      <w:r>
        <w:t xml:space="preserve"> </w:t>
      </w:r>
      <w:r>
        <w:t xml:space="preserve">"Parent" includes either a biological parent or an adoptive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