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8-214</w:t>
        <w:t xml:space="preserve">.  </w:t>
      </w:r>
      <w:r>
        <w:rPr>
          <w:b/>
        </w:rPr>
        <w:t xml:space="preserve">Forfeiture for failure to account when ordered</w:t>
      </w:r>
    </w:p>
    <w:p>
      <w:pPr>
        <w:jc w:val="both"/>
        <w:spacing w:before="100" w:after="100"/>
        <w:ind w:start="360"/>
        <w:ind w:firstLine="360"/>
      </w:pPr>
      <w:r>
        <w:rPr/>
      </w:r>
      <w:r>
        <w:rPr/>
      </w:r>
      <w:r>
        <w:t xml:space="preserve">When it appears in an action on a bond against a principal that the principal is unable to account for personal property of the estate that the principal has received, execution must be awarded against the principal for the full value of the unaccounted-for property, without any allowance for charges of administration or debts paid.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§8-214. Forfeiture for failure to account when ordered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§8-214. Forfeiture for failure to account when ordered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§8-214. FORFEITURE FOR FAILURE TO ACCOUNT WHEN ORDERED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