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6-225</w:t>
        <w:t xml:space="preserve">.  </w:t>
      </w:r>
      <w:r>
        <w:rPr>
          <w:b/>
        </w:rPr>
        <w:t xml:space="preserve">Payment to minor</w:t>
      </w:r>
    </w:p>
    <w:p>
      <w:pPr>
        <w:jc w:val="both"/>
        <w:spacing w:before="100" w:after="100"/>
        <w:ind w:start="360"/>
        <w:ind w:firstLine="360"/>
      </w:pPr>
      <w:r>
        <w:rPr/>
      </w:r>
      <w:r>
        <w:rPr/>
      </w:r>
      <w:r>
        <w:t xml:space="preserve">If a financial institution is required or permitted to make payment pursuant to this Part to a minor designated as a beneficiary, payment may be made pursuant to the Maine Uniform Transfers to Minors Act.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§6-225. Payment to minor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§6-225. Payment to minor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§6-225. PAYMENT TO MINOR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