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6-205</w:t>
        <w:t xml:space="preserve">.  </w:t>
      </w:r>
      <w:r>
        <w:rPr>
          <w:b/>
        </w:rPr>
        <w:t xml:space="preserve">Designation of agent</w:t>
      </w:r>
    </w:p>
    <w:p>
      <w:pPr>
        <w:jc w:val="both"/>
        <w:spacing w:before="100" w:after="0"/>
        <w:ind w:start="360"/>
        <w:ind w:firstLine="360"/>
      </w:pPr>
      <w:r>
        <w:rPr>
          <w:b/>
        </w:rPr>
        <w:t>1</w:t>
        <w:t xml:space="preserve">.  </w:t>
      </w:r>
      <w:r>
        <w:rPr>
          <w:b/>
        </w:rPr>
        <w:t xml:space="preserve">Designation of agent by all parties.</w:t>
        <w:t xml:space="preserve"> </w:t>
      </w:r>
      <w:r>
        <w:t xml:space="preserve"> </w:t>
      </w:r>
      <w:r>
        <w:t xml:space="preserve">By a writing signed by all parties, the parties may designate as agent of all parties on an account a person other than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Disability or incapacity.</w:t>
        <w:t xml:space="preserve"> </w:t>
      </w:r>
      <w:r>
        <w:t xml:space="preserve"> </w:t>
      </w:r>
      <w:r>
        <w:t xml:space="preserve">Unless the terms of an agency designation provide that the authority of the agent terminates on disability or incapacity of a party, the agent's authority survives disability and incapacity.  The agent may act for a disabled or incapacitated party until the authority of the agent is terminated.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Death.</w:t>
        <w:t xml:space="preserve"> </w:t>
      </w:r>
      <w:r>
        <w:t xml:space="preserve"> </w:t>
      </w:r>
      <w:r>
        <w:t xml:space="preserve">Death of the sole party or last surviving party terminates the authority of an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§6-205. Designation of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§6-205. Designation of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§6-205. DESIGNATION OF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