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54-C</w:t>
      </w:r>
    </w:p>
    <w:p>
      <w:pPr>
        <w:jc w:val="center"/>
        <w:ind w:start="360"/>
        <w:spacing w:before="300" w:after="300"/>
      </w:pPr>
      <w:r>
        <w:rPr>
          <w:b/>
        </w:rPr>
        <w:t xml:space="preserve">COMMUNITY SERVICE WORK</w:t>
      </w:r>
    </w:p>
    <w:p>
      <w:pPr>
        <w:jc w:val="both"/>
        <w:spacing w:before="100" w:after="100"/>
        <w:ind w:start="1080" w:hanging="720"/>
      </w:pPr>
      <w:r>
        <w:rPr>
          <w:b/>
        </w:rPr>
        <w:t>§</w:t>
        <w:t>1345</w:t>
        <w:t xml:space="preserve">.  </w:t>
      </w:r>
      <w:r>
        <w:rPr>
          <w:b/>
        </w:rPr>
        <w:t xml:space="preserve">Community service work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136, §4 (NEW). PL 1995, c. 502, §F17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54-C. COMMUNITY SERVICE WORK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54-C. COMMUNITY SERVICE WORK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54-C. COMMUNITY SERVICE WORK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