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w:t>
        <w:t xml:space="preserve">.  </w:t>
      </w:r>
      <w:r>
        <w:rPr>
          <w:b/>
        </w:rPr>
        <w:t xml:space="preserve">Sureties may surrender principals; new recognizances</w:t>
      </w:r>
    </w:p>
    <w:p>
      <w:pPr>
        <w:jc w:val="both"/>
        <w:spacing w:before="100" w:after="100"/>
        <w:ind w:start="360"/>
        <w:ind w:firstLine="360"/>
      </w:pPr>
      <w:r>
        <w:rPr/>
      </w:r>
      <w:r>
        <w:rPr/>
      </w:r>
      <w:r>
        <w:t xml:space="preserve">A surety in a recognizance taken under this chapter may surrender the principal the same as bail in civil cases, and the surety must thereupon be discharged from liability for any subsequent breach of the recognizance. The principal may recognize anew with sufficient sureties for the residue of the term before a judge and then be discharged.</w:t>
      </w:r>
      <w:r>
        <w:t xml:space="preserve">  </w:t>
      </w:r>
      <w:r xmlns:wp="http://schemas.openxmlformats.org/drawingml/2010/wordprocessingDrawing" xmlns:w15="http://schemas.microsoft.com/office/word/2012/wordml">
        <w:rPr>
          <w:rFonts w:ascii="Arial" w:hAnsi="Arial" w:cs="Arial"/>
          <w:sz w:val="22"/>
          <w:szCs w:val="22"/>
        </w:rPr>
        <w:t xml:space="preserve">[RR 2023, c. 2, Pt. D, §43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§43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 Sureties may surrender principals; new recognizances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 Sureties may surrender principals; new recognizances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§290. SURETIES MAY SURRENDER PRINCIPALS; NEW RECOGNIZANCES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