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6522</w:t>
        <w:t xml:space="preserve">.  </w:t>
      </w:r>
      <w:r>
        <w:rPr>
          <w:b/>
        </w:rPr>
        <w:t xml:space="preserve">Claimant not a party; judgment ineffective</w:t>
      </w:r>
    </w:p>
    <w:p>
      <w:pPr>
        <w:jc w:val="both"/>
        <w:spacing w:before="100" w:after="100"/>
        <w:ind w:start="360"/>
        <w:ind w:firstLine="360"/>
      </w:pPr>
      <w:r>
        <w:rPr/>
      </w:r>
      <w:r>
        <w:rPr/>
      </w:r>
      <w:r>
        <w:t xml:space="preserve">When a person not a party to the proceedings claims to hold the premises described or any part thereof, in severalty, he is not precluded by the judgment for partition, but may bring his action therefor as if no such judgment had been rendered.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§6522. Claimant not a party; judgment ineffective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§6522. Claimant not a party; judgment ineffective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§6522. CLAIMANT NOT A PARTY; JUDGMENT INEFFECTIVE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